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9" w:rsidRDefault="00D541C9">
      <w:pPr>
        <w:pStyle w:val="ConsPlusNormal"/>
        <w:ind w:firstLine="540"/>
        <w:jc w:val="both"/>
        <w:outlineLvl w:val="0"/>
      </w:pPr>
      <w:r>
        <w:t>Статья 19. Гарантии прав проверяемых органов и организаций</w:t>
      </w:r>
    </w:p>
    <w:p w:rsidR="00D541C9" w:rsidRDefault="00D541C9">
      <w:pPr>
        <w:pStyle w:val="ConsPlusNormal"/>
      </w:pPr>
    </w:p>
    <w:p w:rsidR="00D541C9" w:rsidRDefault="00D541C9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 (далее - акты),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рабочих дней со дня получения акта, прилагаются к акту и в дальнейшем являются его неотъемлемой частью.</w:t>
      </w:r>
    </w:p>
    <w:p w:rsidR="00D541C9" w:rsidRDefault="00D541C9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Ставропольского края.</w:t>
      </w:r>
    </w:p>
    <w:p w:rsidR="00D541C9" w:rsidRDefault="00D541C9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19, Закон Ставропольского края от 28.12.2011 N 102-кз (ред. от 06.10.2017) "О Контрольно-счетной палате Ставропольского края" (принят Думой Ставропольского края 22.12.2011) {КонсультантПлюс}</w:t>
        </w:r>
      </w:hyperlink>
      <w:r>
        <w:br/>
      </w:r>
    </w:p>
    <w:p w:rsidR="0014640F" w:rsidRDefault="0014640F">
      <w:bookmarkStart w:id="0" w:name="_GoBack"/>
      <w:bookmarkEnd w:id="0"/>
    </w:p>
    <w:sectPr w:rsidR="0014640F" w:rsidSect="00A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C9"/>
    <w:rsid w:val="0014640F"/>
    <w:rsid w:val="00D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A7891D5E64E75FA0DDFBAD612B043B0E72758C246FEA71C12153C098989E61CB976A9190354742DAD38D57B8H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2017-10-16T13:07:00Z</dcterms:created>
  <dcterms:modified xsi:type="dcterms:W3CDTF">2017-10-16T13:07:00Z</dcterms:modified>
</cp:coreProperties>
</file>